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5A6A80"/>
          <w:sz w:val="20"/>
          <w:szCs w:val="20"/>
        </w:rPr>
        <w:t xml:space="preserve">BusinessFlare® GIS</w:t>
      </w:r>
    </w:p>
    <w:p>
      <w:pPr>
        <w:spacing w:after="60"/>
      </w:pPr>
      <w:r>
        <w:rPr>
          <w:rFonts w:ascii="Arial" w:cs="Arial" w:eastAsia="Arial" w:hAnsi="Arial"/>
          <w:b/>
          <w:bCs/>
          <w:color w:val="0F2A52"/>
          <w:sz w:val="40"/>
          <w:szCs w:val="40"/>
        </w:rPr>
        <w:t xml:space="preserve">Heartland Agricultural Land Module</w:t>
      </w:r>
    </w:p>
    <w:p>
      <w:pPr>
        <w:pBdr>
          <w:bottom w:val="single" w:color="1F5AC8" w:sz="12" w:space="6"/>
        </w:pBdr>
        <w:spacing w:after="60"/>
      </w:pPr>
      <w:r>
        <w:rPr>
          <w:rFonts w:ascii="Arial" w:cs="Arial" w:eastAsia="Arial" w:hAnsi="Arial"/>
          <w:i/>
          <w:iCs/>
          <w:color w:val="5A6A80"/>
          <w:sz w:val="20"/>
          <w:szCs w:val="20"/>
        </w:rPr>
        <w:t xml:space="preserve">Method statement. Version 1.0.1. Prepared 12 September 2026. Authoritative reference for the Florida Heartland agriculture lineage map.</w:t>
      </w:r>
    </w:p>
    <w:p>
      <w:pPr>
        <w:spacing w:after="90" w:before="240"/>
      </w:pPr>
      <w:r>
        <w:rPr>
          <w:rFonts w:ascii="Arial" w:cs="Arial" w:eastAsia="Arial" w:hAnsi="Arial"/>
          <w:b/>
          <w:bCs/>
          <w:color w:val="1F5AC8"/>
          <w:sz w:val="26"/>
          <w:szCs w:val="26"/>
        </w:rPr>
        <w:t xml:space="preserve">Purpose</w:t>
      </w:r>
    </w:p>
    <w:p>
      <w:pPr>
        <w:spacing w:after="140"/>
      </w:pPr>
      <w:r>
        <w:rPr>
          <w:rFonts w:ascii="Arial" w:cs="Arial" w:eastAsia="Arial" w:hAnsi="Arial"/>
          <w:color w:val="1A2433"/>
          <w:sz w:val="21"/>
          <w:szCs w:val="21"/>
        </w:rPr>
        <w:t xml:space="preserve">The Heartland Agricultural Land Module computes, from the property and parcel layers held in BusinessFlare® GIS, two figures the Florida Heartland agriculture lineage map states as authoritative: how much agricultural land the region loses or converts, and how land and production divide between small independent producers and the large corporate producers and landowners. The computation lives in this module. The map consumes the results, cites this module in its source register, takes the resolved parent owners as nodes and the dated conversions as edges, and does not recompute what this module computes.</w:t>
      </w:r>
    </w:p>
    <w:p>
      <w:pPr>
        <w:spacing w:after="90" w:before="240"/>
      </w:pPr>
      <w:r>
        <w:rPr>
          <w:rFonts w:ascii="Arial" w:cs="Arial" w:eastAsia="Arial" w:hAnsi="Arial"/>
          <w:b/>
          <w:bCs/>
          <w:color w:val="1F5AC8"/>
          <w:sz w:val="26"/>
          <w:szCs w:val="26"/>
        </w:rPr>
        <w:t xml:space="preserve">Region</w:t>
      </w:r>
    </w:p>
    <w:p>
      <w:pPr>
        <w:spacing w:after="140"/>
      </w:pPr>
      <w:r>
        <w:rPr>
          <w:rFonts w:ascii="Arial" w:cs="Arial" w:eastAsia="Arial" w:hAnsi="Arial"/>
          <w:color w:val="1A2433"/>
          <w:sz w:val="21"/>
          <w:szCs w:val="21"/>
        </w:rPr>
        <w:t xml:space="preserve">The Florida Heartland is an agricultural geography rather than a county list. The core region covers six counties in full: Highlands, Hardee, DeSoto, Glades, Hendry and Okeechobee. The Glades communities of western Palm Beach County, namely Belle Glade, Pahokee, South Bay and Canal Point together with the Everglades Agricultural Area around them, belong to the region and enter from the Palm Beach County property appraiser. Southern Polk County, meaning Frostproof, Fort Meade and the Ridge groves south of Lake Wales, is an optional extension reported separately so it is included or excluded without rerunning the core.</w:t>
      </w:r>
    </w:p>
    <w:p>
      <w:pPr>
        <w:spacing w:after="90" w:before="240"/>
      </w:pPr>
      <w:r>
        <w:rPr>
          <w:rFonts w:ascii="Arial" w:cs="Arial" w:eastAsia="Arial" w:hAnsi="Arial"/>
          <w:b/>
          <w:bCs/>
          <w:color w:val="1F5AC8"/>
          <w:sz w:val="26"/>
          <w:szCs w:val="26"/>
        </w:rPr>
        <w:t xml:space="preserve">Agricultural districts</w:t>
      </w:r>
    </w:p>
    <w:p>
      <w:pPr>
        <w:spacing w:after="140"/>
      </w:pPr>
      <w:r>
        <w:rPr>
          <w:rFonts w:ascii="Arial" w:cs="Arial" w:eastAsia="Arial" w:hAnsi="Arial"/>
          <w:color w:val="1A2433"/>
          <w:sz w:val="21"/>
          <w:szCs w:val="21"/>
        </w:rPr>
        <w:t xml:space="preserve">Every figure is reported by agricultural district as well as by county, so the lineage map folds its cities into the same hubs. The Ridge district is Highlands, plus the southern Polk extension when it is included. The Peace River valley district is Hardee and DeSoto. The Okeechobee district is Okeechobee. The Glades district is Glades, Hendry and the Palm Beach County Glades communities.</w:t>
      </w:r>
    </w:p>
    <w:p>
      <w:pPr>
        <w:spacing w:after="90" w:before="240"/>
      </w:pPr>
      <w:r>
        <w:rPr>
          <w:rFonts w:ascii="Arial" w:cs="Arial" w:eastAsia="Arial" w:hAnsi="Arial"/>
          <w:b/>
          <w:bCs/>
          <w:color w:val="1F5AC8"/>
          <w:sz w:val="26"/>
          <w:szCs w:val="26"/>
        </w:rPr>
        <w:t xml:space="preserve">Land use classification</w:t>
      </w:r>
    </w:p>
    <w:p>
      <w:pPr>
        <w:spacing w:after="140"/>
      </w:pPr>
      <w:r>
        <w:rPr>
          <w:rFonts w:ascii="Arial" w:cs="Arial" w:eastAsia="Arial" w:hAnsi="Arial"/>
          <w:color w:val="1A2433"/>
          <w:sz w:val="21"/>
          <w:szCs w:val="21"/>
        </w:rPr>
        <w:t xml:space="preserve">Each parcel is classified by its Florida Department of Revenue land use code into eleven classes. Groves is code 66. Cropland is codes 50 to 53. Grazing and pasture is codes 60 to 65. Timber is codes 54 to 59. Other agricultural is codes 67 to 69, covering poultry, apiary, aquaculture, dairy, feedlot and ornamentals. Mining is code 92. Utility and solar is code 91. Residential is codes 1 to 9. Commercial and industrial is codes 10 to 49. Institutional and government is codes 70 to 90, 94 and 96 to 98. Vacant is codes 0, 95 and 99. The five agricultural classes are groves, cropland, grazing and pasture, timber and other agricultural. The regional agricultural base is 2,324,300 acres across the six core counties on the 2025 final roll, with DOR code 93 excluded, and that single figure is used everywhere in the module. Parcel acreage is the roll land size recorded by each property appraiser in the name address legal file. DOR code 93, subsurface rights, is a separate roll record over land that surface parcels already carry, so it is excluded from every land total and reported on its own line as rights held.</w:t>
      </w:r>
    </w:p>
    <w:p>
      <w:pPr>
        <w:spacing w:after="90" w:before="240"/>
      </w:pPr>
      <w:r>
        <w:rPr>
          <w:rFonts w:ascii="Arial" w:cs="Arial" w:eastAsia="Arial" w:hAnsi="Arial"/>
          <w:b/>
          <w:bCs/>
          <w:color w:val="1F5AC8"/>
          <w:sz w:val="26"/>
          <w:szCs w:val="26"/>
        </w:rPr>
        <w:t xml:space="preserve">Question one: land lost or converted</w:t>
      </w:r>
    </w:p>
    <w:p>
      <w:pPr>
        <w:spacing w:after="140"/>
      </w:pPr>
      <w:r>
        <w:rPr>
          <w:rFonts w:ascii="Arial" w:cs="Arial" w:eastAsia="Arial" w:hAnsi="Arial"/>
          <w:color w:val="1A2433"/>
          <w:sz w:val="21"/>
          <w:szCs w:val="21"/>
        </w:rPr>
        <w:t xml:space="preserve">The module classifies every Heartland parcel on the 2025 final roll by its land use code and reports acres by class by county and by district. This is the authoritative current baseline of agricultural land and its composition. The change over time is not computed by differencing parcel rolls in this release. On 12 September 2026 two public archives were checked for prior year parcels carrying the DOR use code. The Florida Department of Revenue data portal serves the name address legal files with the use code only for the current cycle, and its Map Data folder holds prior year parcel geometry from 2005 to 2026 that carries only the parcel identifier, not the use code. The University of Florida GeoPlan FGDL catalogues statewide parcel layers carrying the use code for 2019 to 2023, but its distribution routes to an FTP mirror that does not resolve to a direct download. Neither archive yields DOR coded prior year parcels in a usable form. The trend in land lost or converted is read instead from public multiple year series placed beside the baseline: the United States Department of Agriculture Census of Agriculture land in farms series by county, taken at each census year, and the University of Florida IFAS commercial citrus acreage surveys for grove loss. Named recent conversions are carried in a separate announced table sourced to the county approval, the utility filing or the press report by exact URL. If the FGDL parcel layers are retrieved through the FGDL website, the parcel differenced series is built on the same eleven classes with code 93 excluded, matched by parcel identifier, with the match rate stated per county per year, and the two parcel based quantities, land that leaves agriculture and land that changes class with grove to grazing on its own line, are added without changing the baseline.</w:t>
      </w:r>
    </w:p>
    <w:p>
      <w:pPr>
        <w:spacing w:after="90" w:before="240"/>
      </w:pPr>
      <w:r>
        <w:rPr>
          <w:rFonts w:ascii="Arial" w:cs="Arial" w:eastAsia="Arial" w:hAnsi="Arial"/>
          <w:b/>
          <w:bCs/>
          <w:color w:val="1F5AC8"/>
          <w:sz w:val="26"/>
          <w:szCs w:val="26"/>
        </w:rPr>
        <w:t xml:space="preserve">Question two: the ownership split</w:t>
      </w:r>
    </w:p>
    <w:p>
      <w:pPr>
        <w:spacing w:after="140"/>
      </w:pPr>
      <w:r>
        <w:rPr>
          <w:rFonts w:ascii="Arial" w:cs="Arial" w:eastAsia="Arial" w:hAnsi="Arial"/>
          <w:color w:val="1A2433"/>
          <w:sz w:val="21"/>
          <w:szCs w:val="21"/>
        </w:rPr>
        <w:t xml:space="preserve">The module builds a resolved owner table for every agricultural parcel in the region. The raw owner names in the parcel files are many limited liability companies, trusts, partnerships and subsidiaries. Each is rolled up to its parent, and the evidence for every roll up is recorded with its source URL: a Sunbiz filing, an annual report, a deed, a company page or a press record. The split is then reported by acreage, by parcel count, by county, by district and by class of land, between the large corporate producers and landowners and everyone else, and separately for the citrus, sugar and cattle classes because the answer differs by sector.</w:t>
      </w:r>
    </w:p>
    <w:p>
      <w:pPr>
        <w:spacing w:after="100"/>
      </w:pPr>
      <w:r>
        <w:rPr>
          <w:rFonts w:ascii="Arial" w:cs="Arial" w:eastAsia="Arial" w:hAnsi="Arial"/>
          <w:b/>
          <w:bCs/>
          <w:color w:val="0F2A52"/>
          <w:sz w:val="21"/>
          <w:szCs w:val="21"/>
        </w:rPr>
        <w:t xml:space="preserve">Tier definition. </w:t>
      </w:r>
      <w:r>
        <w:rPr>
          <w:rFonts w:ascii="Arial" w:cs="Arial" w:eastAsia="Arial" w:hAnsi="Arial"/>
          <w:color w:val="1A2433"/>
          <w:sz w:val="21"/>
          <w:szCs w:val="21"/>
        </w:rPr>
        <w:t xml:space="preserve">The large tier is drawn by the data and never by a chosen rank. Resolved parent owners are ranked by agricultural acreage. The region's own natural break isolates a single owner: the largest proportional gap in the distribution of owners by size, on a logarithmic scale, falls immediately below Lykes Bros at about 337,000 acres, which stands alone above every other owner. A Jenks natural breaks optimization on the same distribution cuts near 149 acres and separates smallholders from the rest rather than large owners from small, so it does not define the large tier. Everyone below that single standout owner is reported at the United States Department of Agriculture Census of Agriculture published farm size boundaries of 1,000, 2,000 and 5,000 acres, which are external and authoritative rather than a divider selected here. Every cut is reported so no single divider is decreed. The number of owners above each boundary is whatever the distribution yields. The Census of Agriculture farm counts by size class are the independent series, and suppressed cells in the small counties are noted.</w:t>
      </w:r>
    </w:p>
    <w:p>
      <w:pPr>
        <w:spacing w:after="100"/>
      </w:pPr>
      <w:r>
        <w:rPr>
          <w:rFonts w:ascii="Arial" w:cs="Arial" w:eastAsia="Arial" w:hAnsi="Arial"/>
          <w:b/>
          <w:bCs/>
          <w:color w:val="0F2A52"/>
          <w:sz w:val="21"/>
          <w:szCs w:val="21"/>
        </w:rPr>
        <w:t xml:space="preserve">Owners are roll names, so concentration is a floor. </w:t>
      </w:r>
      <w:r>
        <w:rPr>
          <w:rFonts w:ascii="Arial" w:cs="Arial" w:eastAsia="Arial" w:hAnsi="Arial"/>
          <w:color w:val="1A2433"/>
          <w:sz w:val="21"/>
          <w:szCs w:val="21"/>
        </w:rPr>
        <w:t xml:space="preserve">Owners are the names recorded on the 2025 roll after seven documented roll ups: Lykes Bros, U.S. Sugar with Southern Gardens, Mosaic with IMC, Florida Power and Light, Alico, A. Duda and Sons, and Florida Crystals with Okeelanta and New Hope. Subsidiaries and affiliated entities not yet rolled up appear as separate owners, so the reported concentration understates the true concentration. Every large owner figure in this release is therefore a floor, and the next release raises it only as further roll ups are documented with evidence.</w:t>
      </w:r>
    </w:p>
    <w:p>
      <w:pPr>
        <w:spacing w:after="90" w:before="240"/>
      </w:pPr>
      <w:r>
        <w:rPr>
          <w:rFonts w:ascii="Arial" w:cs="Arial" w:eastAsia="Arial" w:hAnsi="Arial"/>
          <w:b/>
          <w:bCs/>
          <w:color w:val="1F5AC8"/>
          <w:sz w:val="26"/>
          <w:szCs w:val="26"/>
        </w:rPr>
        <w:t xml:space="preserve">Sources and evidence</w:t>
      </w:r>
    </w:p>
    <w:p>
      <w:pPr>
        <w:spacing w:after="140"/>
      </w:pPr>
      <w:r>
        <w:rPr>
          <w:rFonts w:ascii="Arial" w:cs="Arial" w:eastAsia="Arial" w:hAnsi="Arial"/>
          <w:color w:val="1A2433"/>
          <w:sz w:val="21"/>
          <w:szCs w:val="21"/>
        </w:rPr>
        <w:t xml:space="preserve">Every figure carries its source and its year. Primary parcel data are the Florida Department of Revenue name address legal files and each county property appraiser's current parcel layer, including the Palm Beach County property appraiser for the Glades communities. Independent series are the United States Department of Agriculture Census of Agriculture county profiles and farm size tables, the IFAS citrus acreage surveys, and the Florida Department of Agriculture and South Florida Water Management District land use layers for the Everglades Agricultural Area. Ownership roll ups cite Sunbiz, company filings and deeds. Announced conversions cite the county approval, the utility filing or the press report by exact URL. Nothing in the module rests on private information or client work. A figure produced in a BusinessFlare® engagement in the region is used only where the same figure is public.</w:t>
      </w:r>
    </w:p>
    <w:p>
      <w:pPr>
        <w:spacing w:after="90" w:before="240"/>
      </w:pPr>
      <w:r>
        <w:rPr>
          <w:rFonts w:ascii="Arial" w:cs="Arial" w:eastAsia="Arial" w:hAnsi="Arial"/>
          <w:b/>
          <w:bCs/>
          <w:color w:val="1F5AC8"/>
          <w:sz w:val="26"/>
          <w:szCs w:val="26"/>
        </w:rPr>
        <w:t xml:space="preserve">Limitations disclosed</w:t>
      </w:r>
    </w:p>
    <w:p>
      <w:pPr>
        <w:spacing w:after="100"/>
      </w:pPr>
      <w:r>
        <w:rPr>
          <w:rFonts w:ascii="Arial" w:cs="Arial" w:eastAsia="Arial" w:hAnsi="Arial"/>
          <w:b/>
          <w:bCs/>
          <w:color w:val="0F2A52"/>
          <w:sz w:val="21"/>
          <w:szCs w:val="21"/>
        </w:rPr>
        <w:t xml:space="preserve">Assessor lag. </w:t>
      </w:r>
      <w:r>
        <w:rPr>
          <w:rFonts w:ascii="Arial" w:cs="Arial" w:eastAsia="Arial" w:hAnsi="Arial"/>
          <w:color w:val="1A2433"/>
          <w:sz w:val="21"/>
          <w:szCs w:val="21"/>
        </w:rPr>
        <w:t xml:space="preserve">The Department of Revenue code follows the property appraiser's classification, which lags actual use and is shaped by the agricultural greenbelt classification. A parcel under a solar lease or an approved subdivision keeps its agricultural code for a year or more. Solar is not isolated by land use code alone and is captured through the announced conversions table.</w:t>
      </w:r>
    </w:p>
    <w:p>
      <w:pPr>
        <w:spacing w:after="100"/>
      </w:pPr>
      <w:r>
        <w:rPr>
          <w:rFonts w:ascii="Arial" w:cs="Arial" w:eastAsia="Arial" w:hAnsi="Arial"/>
          <w:b/>
          <w:bCs/>
          <w:color w:val="0F2A52"/>
          <w:sz w:val="21"/>
          <w:szCs w:val="21"/>
        </w:rPr>
        <w:t xml:space="preserve">Rotational crops. </w:t>
      </w:r>
      <w:r>
        <w:rPr>
          <w:rFonts w:ascii="Arial" w:cs="Arial" w:eastAsia="Arial" w:hAnsi="Arial"/>
          <w:color w:val="1A2433"/>
          <w:sz w:val="21"/>
          <w:szCs w:val="21"/>
        </w:rPr>
        <w:t xml:space="preserve">A single classification does not see rotational crops. In DeSoto County the Cropland Data Layer reports zero watermelon in every year from 2020 to 2024 and almost no fallow, while the Census of Agriculture records 1,424 acres of watermelon and 3,762 acres of vegetables. The county assessor classifies about 4,300 agricultural parcels as grazing, about 970 as groves and only a few dozen as cropland. Winter vegetables and melons in the Peace River valley are grown largely on leased grazing land. The parcel stays classified as grazing, summer imagery reads it as pasture, and the crop surfaces only in the five year Census count. The Census layer is kept separate as the quantity of record for those crops. The module does not build a custom winter imagery classifier, which is logged as an open item.</w:t>
      </w:r>
    </w:p>
    <w:p>
      <w:pPr>
        <w:spacing w:after="100"/>
      </w:pPr>
      <w:r>
        <w:rPr>
          <w:rFonts w:ascii="Arial" w:cs="Arial" w:eastAsia="Arial" w:hAnsi="Arial"/>
          <w:b/>
          <w:bCs/>
          <w:color w:val="0F2A52"/>
          <w:sz w:val="21"/>
          <w:szCs w:val="21"/>
        </w:rPr>
        <w:t xml:space="preserve">Base classification and permits. </w:t>
      </w:r>
      <w:r>
        <w:rPr>
          <w:rFonts w:ascii="Arial" w:cs="Arial" w:eastAsia="Arial" w:hAnsi="Arial"/>
          <w:color w:val="1A2433"/>
          <w:sz w:val="21"/>
          <w:szCs w:val="21"/>
        </w:rPr>
        <w:t xml:space="preserve">The module adds a parcel based agricultural land use layer from the Department of Revenue codes for every county in the region as the base classification. It adds an agricultural water use permit layer from the Southwest Florida Water Management District for DeSoto, Hardee and Highlands and from the South Florida Water Management District for Glades, Hendry, Okeechobee and the Palm Beach Glades, mapped and tabulated by crop type and irrigated acres by county and district. A permit records what is allowed, not what is planted, and can cover more than one parcel. Permits joined to the resolved owner table give the grower to landowner relationships that the lineage map takes as edges, from public records only, with the map's own naming rule applied on top.</w:t>
      </w:r>
    </w:p>
    <w:p>
      <w:pPr>
        <w:spacing w:after="100"/>
      </w:pPr>
      <w:r>
        <w:rPr>
          <w:rFonts w:ascii="Arial" w:cs="Arial" w:eastAsia="Arial" w:hAnsi="Arial"/>
          <w:b/>
          <w:bCs/>
          <w:color w:val="0F2A52"/>
          <w:sz w:val="21"/>
          <w:szCs w:val="21"/>
        </w:rPr>
        <w:t xml:space="preserve">Institutional and government land. </w:t>
      </w:r>
      <w:r>
        <w:rPr>
          <w:rFonts w:ascii="Arial" w:cs="Arial" w:eastAsia="Arial" w:hAnsi="Arial"/>
          <w:color w:val="1A2433"/>
          <w:sz w:val="21"/>
          <w:szCs w:val="21"/>
        </w:rPr>
        <w:t xml:space="preserve">Institutional and government land, about 804,000 acres across the six counties and about 477,000 acres in the Glades district, sits outside the agricultural base even where it is grazed under state lease. The parcel base and the Census of Agriculture land in farms figure differ for that reason among others.</w:t>
      </w:r>
    </w:p>
    <w:p>
      <w:pPr>
        <w:spacing w:after="90" w:before="240"/>
      </w:pPr>
      <w:r>
        <w:rPr>
          <w:rFonts w:ascii="Arial" w:cs="Arial" w:eastAsia="Arial" w:hAnsi="Arial"/>
          <w:b/>
          <w:bCs/>
          <w:color w:val="1F5AC8"/>
          <w:sz w:val="26"/>
          <w:szCs w:val="26"/>
        </w:rPr>
        <w:t xml:space="preserve">What the map takes from this module</w:t>
      </w:r>
    </w:p>
    <w:p>
      <w:pPr>
        <w:spacing w:after="140"/>
      </w:pPr>
      <w:r>
        <w:rPr>
          <w:rFonts w:ascii="Arial" w:cs="Arial" w:eastAsia="Arial" w:hAnsi="Arial"/>
          <w:color w:val="1A2433"/>
          <w:sz w:val="21"/>
          <w:szCs w:val="21"/>
        </w:rPr>
        <w:t xml:space="preserve">The resolved parent owners become nodes on the lineage map. Each conversion that names a seller, a buyer and a year becomes a dated edge with the acreage in its note: a grove that becomes a ranch, a ranch that becomes a solar site, a processor that closes and its supply that moves. The acreage lost and the ownership split become a reference section on the map with this module in its source register. Node size and centrality stay computed from the map's own network. The land figures are sourced facts, not map metrics.</w:t>
      </w:r>
    </w:p>
    <w:p>
      <w:pPr>
        <w:spacing w:after="90" w:before="240"/>
      </w:pPr>
      <w:r>
        <w:rPr>
          <w:rFonts w:ascii="Arial" w:cs="Arial" w:eastAsia="Arial" w:hAnsi="Arial"/>
          <w:b/>
          <w:bCs/>
          <w:color w:val="1F5AC8"/>
          <w:sz w:val="26"/>
          <w:szCs w:val="26"/>
        </w:rPr>
        <w:t xml:space="preserve">Status</w:t>
      </w:r>
    </w:p>
    <w:p>
      <w:pPr>
        <w:spacing w:after="140"/>
      </w:pPr>
      <w:r>
        <w:rPr>
          <w:rFonts w:ascii="Arial" w:cs="Arial" w:eastAsia="Arial" w:hAnsi="Arial"/>
          <w:color w:val="1A2433"/>
          <w:sz w:val="21"/>
          <w:szCs w:val="21"/>
        </w:rPr>
        <w:t xml:space="preserve">The current year baseline is complete for the six core counties: the 2025 land use classification by class, county and district on the Department of Revenue final roll; the resolved parent owner table with an evidence URL for every roll up; the ownership split between large owners and everyone else by class and by district; and the announced conversions pipeline from the FPL Ten Year Site Plan. As found on 12 September 2026, the Department of Revenue Map Data folder carries prior year parcel geometry without the use code, while the University of Florida GeoPlan FGDL carries DOR coded statewide parcel layers for 2019 to 2023; the parcel differenced series 2019 to 2025 follows in a later version once those layers are staged. The change over time is carried in the meantime by the public Census of Agriculture and IFAS citrus series as columns beside the baseline. The module is published at gis.businessflare.net/tools/heartland-ag-land, now that the resolved owner table carries an evidence URL for every roll up. The remaining work for the next release is the Palm Beach Glades communities and the Polk extension, non solar development conversions as county approvals surface, and the water use permit layer joined to owners.</w:t>
      </w:r>
    </w:p>
    <w:sectPr>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2026-09-12T22:59:34.875Z</dcterms:created>
  <dcterms:modified xsi:type="dcterms:W3CDTF">2026-09-12T22:59:34.883Z</dcterms:modified>
</cp:coreProperties>
</file>

<file path=docProps/custom.xml><?xml version="1.0" encoding="utf-8"?>
<Properties xmlns="http://schemas.openxmlformats.org/officeDocument/2006/custom-properties" xmlns:vt="http://schemas.openxmlformats.org/officeDocument/2006/docPropsVTypes"/>
</file>